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t>Hỗ trợ cho người lao động thuộc đối tượng là người dân tộc 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Lao động - Tiền lương - Bảo hiểm xã hội (11 thủ 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là người chưa thành niên không có nơi cư trú ổn định bị áp dụng biện pháp giáo dục tại xã, phường, thị 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t>Cấp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công bố đủ điều kiện điều trị nghiện chất dạng thuốc phiện bằng phương thức điện tử khi hồ sơ công 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t>Gửi thang lương, bảng lương, định mức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CE55" w14:textId="77777777" w:rsidR="00802BE2" w:rsidRDefault="00802BE2" w:rsidP="00A628B1">
      <w:r>
        <w:separator/>
      </w:r>
    </w:p>
  </w:endnote>
  <w:endnote w:type="continuationSeparator" w:id="0">
    <w:p w14:paraId="21CA8ACA" w14:textId="77777777" w:rsidR="00802BE2" w:rsidRDefault="00802BE2"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797C" w14:textId="77777777" w:rsidR="00802BE2" w:rsidRDefault="00802BE2" w:rsidP="00A628B1">
      <w:r>
        <w:separator/>
      </w:r>
    </w:p>
  </w:footnote>
  <w:footnote w:type="continuationSeparator" w:id="0">
    <w:p w14:paraId="2DB8487B" w14:textId="77777777" w:rsidR="00802BE2" w:rsidRDefault="00802BE2"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4311FB">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11FB"/>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02B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Administrator</cp:lastModifiedBy>
  <cp:revision>2</cp:revision>
  <dcterms:created xsi:type="dcterms:W3CDTF">2020-12-21T07:55:00Z</dcterms:created>
  <dcterms:modified xsi:type="dcterms:W3CDTF">2020-12-21T07:55:00Z</dcterms:modified>
</cp:coreProperties>
</file>